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中华人民共和国海关稽查条例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1997</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3</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209</w:t>
      </w:r>
      <w:r>
        <w:rPr>
          <w:rFonts w:hint="eastAsia" w:ascii="楷体_GB2312" w:hAnsi="Arial" w:eastAsia="楷体_GB2312" w:cs="Arial"/>
          <w:szCs w:val="32"/>
        </w:rPr>
        <w:t>号发布　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日《国务院关于废止和修改部分行政法规的决定》第一次修订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19</w:t>
      </w:r>
      <w:r>
        <w:rPr>
          <w:rFonts w:hint="eastAsia" w:ascii="楷体_GB2312" w:hAnsi="Arial" w:eastAsia="楷体_GB2312" w:cs="Arial"/>
          <w:szCs w:val="32"/>
        </w:rPr>
        <w:t>日《国务院关于修改〈中华人民共和国海关稽查条例〉的决定》第二次修订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日《国务院关于修改和废止部分行政法规的决定》第三次修订）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bookmarkStart w:id="3" w:name="_GoBack"/>
      <w:bookmarkEnd w:id="3"/>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为了建立、健全海关稽查制度，加强海关监督管理，维护正常的进出口秩序和当事人的合法权益，保障国家税收收入，促进对外贸易的发展，根据《中华人民共和国海关法》</w:t>
      </w:r>
      <w:r>
        <w:rPr>
          <w:rFonts w:hint="eastAsia" w:ascii="仿宋_GB2312" w:hAnsi="仿宋_GB2312" w:cs="仿宋_GB2312"/>
          <w:sz w:val="32"/>
          <w:lang w:eastAsia="zh-CN"/>
        </w:rPr>
        <w:t>（</w:t>
      </w:r>
      <w:r>
        <w:rPr>
          <w:rFonts w:ascii="仿宋_GB2312" w:hAnsi="仿宋_GB2312" w:eastAsia="仿宋_GB2312" w:cs="仿宋_GB2312"/>
          <w:sz w:val="32"/>
        </w:rPr>
        <w:t>以下简称海关法</w:t>
      </w:r>
      <w:r>
        <w:rPr>
          <w:rFonts w:hint="eastAsia" w:ascii="仿宋_GB2312" w:hAnsi="仿宋_GB2312" w:cs="仿宋_GB2312"/>
          <w:sz w:val="32"/>
          <w:lang w:eastAsia="zh-CN"/>
        </w:rPr>
        <w:t>）</w:t>
      </w:r>
      <w:r>
        <w:rPr>
          <w:rFonts w:ascii="仿宋_GB2312" w:hAnsi="仿宋_GB2312" w:eastAsia="仿宋_GB2312" w:cs="仿宋_GB2312"/>
          <w:sz w:val="32"/>
        </w:rPr>
        <w:t>，制定本条例。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本条例所称海关稽查，是指海关自进出口货物放行之日起</w:t>
      </w:r>
      <w:r>
        <w:rPr>
          <w:rFonts w:hint="default" w:ascii="Times New Roman" w:hAnsi="Times New Roman" w:eastAsia="仿宋_GB2312" w:cs="Times New Roman"/>
          <w:sz w:val="32"/>
        </w:rPr>
        <w:t>3</w:t>
      </w:r>
      <w:r>
        <w:rPr>
          <w:rFonts w:ascii="仿宋_GB2312" w:hAnsi="仿宋_GB2312" w:eastAsia="仿宋_GB2312" w:cs="仿宋_GB2312"/>
          <w:sz w:val="32"/>
        </w:rPr>
        <w:t>年内或者在保税货物、减免税进口货物的海关监管期限内及其后的</w:t>
      </w:r>
      <w:r>
        <w:rPr>
          <w:rFonts w:hint="default" w:ascii="Times New Roman" w:hAnsi="Times New Roman" w:eastAsia="仿宋_GB2312" w:cs="Times New Roman"/>
          <w:sz w:val="32"/>
        </w:rPr>
        <w:t>3</w:t>
      </w:r>
      <w:r>
        <w:rPr>
          <w:rFonts w:ascii="仿宋_GB2312" w:hAnsi="仿宋_GB2312" w:eastAsia="仿宋_GB2312" w:cs="仿宋_GB2312"/>
          <w:sz w:val="32"/>
        </w:rPr>
        <w:t>年内，对与进出口货物直接有关的企业、单位的会计账簿、会计凭证、报关单证以及其他有关资料</w:t>
      </w:r>
      <w:r>
        <w:rPr>
          <w:rFonts w:hint="eastAsia" w:ascii="仿宋_GB2312" w:hAnsi="仿宋_GB2312" w:cs="仿宋_GB2312"/>
          <w:sz w:val="32"/>
          <w:lang w:eastAsia="zh-CN"/>
        </w:rPr>
        <w:t>（</w:t>
      </w:r>
      <w:r>
        <w:rPr>
          <w:rFonts w:ascii="仿宋_GB2312" w:hAnsi="仿宋_GB2312" w:eastAsia="仿宋_GB2312" w:cs="仿宋_GB2312"/>
          <w:sz w:val="32"/>
        </w:rPr>
        <w:t>以下统称账簿、单证等有关资料</w:t>
      </w:r>
      <w:r>
        <w:rPr>
          <w:rFonts w:hint="eastAsia" w:ascii="仿宋_GB2312" w:hAnsi="仿宋_GB2312" w:cs="仿宋_GB2312"/>
          <w:sz w:val="32"/>
          <w:lang w:eastAsia="zh-CN"/>
        </w:rPr>
        <w:t>）</w:t>
      </w:r>
      <w:r>
        <w:rPr>
          <w:rFonts w:ascii="仿宋_GB2312" w:hAnsi="仿宋_GB2312" w:eastAsia="仿宋_GB2312" w:cs="仿宋_GB2312"/>
          <w:sz w:val="32"/>
        </w:rPr>
        <w:t>和有关进出口货物进行核查，监督其进出口活动的真实性和合法性。</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海关对下列与进出口货物直接有关的企业、单位实施海关稽查：</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从事对外贸易的企业、单位；</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从事对外加工贸易的企业；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经营保税业务的企业；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使用或者经营减免税进口货物的企业、单位；</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从事报关业务的企业；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海关总署规定的与进出口货物直接有关的其他企业、单位。</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海关根据稽查工作需要，可以向有关行业协会、政府部门和相关企业等收集特定商品、行业与进出口活动有关的信息。收集的信息涉及商业秘密的，海关应当予以保密。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海关和海关工作人员执行海关稽查职务，应当客观公正，实事求是，廉洁奉公，保守被稽查人的商业秘密，不得侵犯被稽查人的合法权益。</w:t>
      </w:r>
    </w:p>
    <w:p>
      <w:pPr>
        <w:spacing w:line="240" w:lineRule="auto"/>
        <w:ind w:firstLine="0"/>
        <w:jc w:val="center"/>
      </w:pPr>
    </w:p>
    <w:p>
      <w:pPr>
        <w:spacing w:line="240" w:lineRule="auto"/>
        <w:ind w:firstLine="0"/>
        <w:jc w:val="center"/>
      </w:pPr>
      <w:r>
        <w:rPr>
          <w:rFonts w:ascii="黑体" w:hAnsi="黑体" w:eastAsia="黑体" w:cs="黑体"/>
          <w:sz w:val="32"/>
        </w:rPr>
        <w:t>第二章　账簿、单证等有关资料的管理</w:t>
      </w:r>
    </w:p>
    <w:p>
      <w:pPr>
        <w:spacing w:line="240" w:lineRule="auto"/>
        <w:ind w:firstLine="0"/>
        <w:jc w:val="center"/>
      </w:pP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与进出口货物直接有关的企业、单位所设置、编制的会计账簿、会计凭证、会计报表和其他会计资料，应当真实、准确、完整地记录和反映进出口业务的有关情况。</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与进出口货物直接有关的企业、单位应当依照有关法律、行政法规规定的保管期限，保管会计账簿、会计凭证、会计报表和其他会计资料。</w:t>
      </w:r>
    </w:p>
    <w:p>
      <w:pPr>
        <w:spacing w:line="240" w:lineRule="auto"/>
        <w:ind w:firstLine="640"/>
        <w:jc w:val="both"/>
      </w:pPr>
      <w:r>
        <w:rPr>
          <w:rFonts w:ascii="仿宋_GB2312" w:hAnsi="仿宋_GB2312" w:eastAsia="仿宋_GB2312" w:cs="仿宋_GB2312"/>
          <w:sz w:val="32"/>
        </w:rPr>
        <w:t>报关单证、进出口单证、合同以及与进出口业务直接有关的其他资料，应当在本条例第二条规定的期限内保管。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与进出口货物直接有关的企业、单位会计制度健全，能够通过计算机正确、完整地记账、核算的，其计算机储存和输出的会计记录视同会计资料。</w:t>
      </w:r>
    </w:p>
    <w:p>
      <w:pPr>
        <w:spacing w:line="240" w:lineRule="auto"/>
        <w:ind w:firstLine="0"/>
        <w:jc w:val="center"/>
      </w:pPr>
    </w:p>
    <w:p>
      <w:pPr>
        <w:spacing w:line="240" w:lineRule="auto"/>
        <w:ind w:firstLine="0"/>
        <w:jc w:val="center"/>
      </w:pPr>
      <w:r>
        <w:rPr>
          <w:rFonts w:ascii="黑体" w:hAnsi="黑体" w:eastAsia="黑体" w:cs="黑体"/>
          <w:sz w:val="32"/>
        </w:rPr>
        <w:t>第三章　海关稽查的实施</w:t>
      </w:r>
    </w:p>
    <w:p>
      <w:pPr>
        <w:spacing w:line="240" w:lineRule="auto"/>
        <w:ind w:firstLine="0"/>
        <w:jc w:val="cente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海关应当按照海关监管的要求，根据与进出口货物直接有关的企业、单位的进出口信用状况和风险状况以及进出口货物的具体情况，确定海关稽查重点。</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海关进行稽查时，应当在实施稽查的</w:t>
      </w:r>
      <w:r>
        <w:rPr>
          <w:rFonts w:hint="default" w:ascii="Times New Roman" w:hAnsi="Times New Roman" w:eastAsia="仿宋_GB2312" w:cs="Times New Roman"/>
          <w:sz w:val="32"/>
        </w:rPr>
        <w:t>3</w:t>
      </w:r>
      <w:r>
        <w:rPr>
          <w:rFonts w:ascii="仿宋_GB2312" w:hAnsi="仿宋_GB2312" w:eastAsia="仿宋_GB2312" w:cs="仿宋_GB2312"/>
          <w:sz w:val="32"/>
        </w:rPr>
        <w:t>日前，书面通知被稽查人。在被稽查人有重大违法嫌疑，其账簿、单证等有关资料以及进出口货物可能被转移、隐匿、毁弃等紧急情况下，经直属海关关长或者其授权的隶属海关关长批准，海关可以不经事先通知进行稽查。</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海关进行稽查时，应当组成稽查组。稽查组的组成人员不得少于</w:t>
      </w:r>
      <w:r>
        <w:rPr>
          <w:rFonts w:hint="default" w:ascii="Times New Roman" w:hAnsi="Times New Roman" w:eastAsia="仿宋_GB2312" w:cs="Times New Roman"/>
          <w:sz w:val="32"/>
        </w:rPr>
        <w:t>2</w:t>
      </w:r>
      <w:r>
        <w:rPr>
          <w:rFonts w:ascii="仿宋_GB2312" w:hAnsi="仿宋_GB2312" w:eastAsia="仿宋_GB2312" w:cs="仿宋_GB2312"/>
          <w:sz w:val="32"/>
        </w:rPr>
        <w:t>人。</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海关进行稽查时，海关工作人员应当出示海关稽查证。</w:t>
      </w:r>
    </w:p>
    <w:p>
      <w:pPr>
        <w:spacing w:line="240" w:lineRule="auto"/>
        <w:ind w:firstLine="640"/>
        <w:jc w:val="both"/>
      </w:pPr>
      <w:r>
        <w:rPr>
          <w:rFonts w:ascii="仿宋_GB2312" w:hAnsi="仿宋_GB2312" w:eastAsia="仿宋_GB2312" w:cs="仿宋_GB2312"/>
          <w:sz w:val="32"/>
        </w:rPr>
        <w:t>海关稽查证，由海关总署统一制发。</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海关进行稽查时，海关工作人员与被稽查人有直接利害关系的，应当回避。</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海关进行稽查时，可以行使下列职权：</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查阅、复制被稽查人的账簿、单证等有关资料；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进入被稽查人的生产经营场所、货物存放场所，检查与进出口活动有关的生产经营情况和货物；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询问被稽查人的法定代表人、主要负责人员和其他有关人员与进出口活动有关的情况和问题；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经直属海关关长或者其授权的隶属海关关长批准，查询被稽查人在商业银行或者其他金融机构的存款账户。</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海关进行稽查时，发现被稽查人有可能转移、隐匿、篡改、毁弃账簿、单证等有关资料的，经直属海关关长或者其授权的隶属海关关长批准，可以查封、扣押其账簿、单证等有关资料以及相关电子数据存储介质。采取该项措施时，不得妨碍被稽查人正常的生产经营活动。</w:t>
      </w:r>
    </w:p>
    <w:p>
      <w:pPr>
        <w:spacing w:line="240" w:lineRule="auto"/>
        <w:ind w:firstLine="640"/>
        <w:jc w:val="both"/>
      </w:pPr>
      <w:r>
        <w:rPr>
          <w:rFonts w:ascii="仿宋_GB2312" w:hAnsi="仿宋_GB2312" w:eastAsia="仿宋_GB2312" w:cs="仿宋_GB2312"/>
          <w:sz w:val="32"/>
        </w:rPr>
        <w:t>海关对有关情况查明或者取证后，应当立即解除对账簿、单证等有关资料以及相关电子数据存储介质的查封、扣押。</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海关进行稽查时，发现被稽查人的进出口货物有违反海关法和其他有关法律、行政法规规定的嫌疑的，经直属海关关长或者其授权的隶属海关关长批准，可以查封、扣押有关进出口货物。</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被稽查人应当配合海关稽查工作，并提供必要的工作条件。</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被稽查人应当接受海关稽查，如实反映情况，提供账簿、单证等有关资料，不得拒绝、拖延、隐瞒。</w:t>
      </w:r>
    </w:p>
    <w:p>
      <w:pPr>
        <w:spacing w:line="240" w:lineRule="auto"/>
        <w:ind w:firstLine="640"/>
        <w:jc w:val="both"/>
      </w:pPr>
      <w:r>
        <w:rPr>
          <w:rFonts w:ascii="仿宋_GB2312" w:hAnsi="仿宋_GB2312" w:eastAsia="仿宋_GB2312" w:cs="仿宋_GB2312"/>
          <w:sz w:val="32"/>
        </w:rPr>
        <w:t>被稽查人使用计算机记账的，应当向海关提供记账软件、使用说明书及有关资料。</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海关查阅、复制被稽查人的账簿、单证等有关资料或者进入被稽查人的生产经营场所、货物存放场所检查时，被稽查人的法定代表人或者主要负责人员或者其指定的代表应当到场，并按照海关的要求清点账簿、打开货物存放场所、搬移货物或者开启货物包装。</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海关进行稽查时，与被稽查人有财务往来或者其他商务往来的企业、单位应当向海关如实反映被稽查人的有关情况，提供有关资料和证明材料。</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海关进行稽查时，可以委托会计、税务等方面的专业机构就相关问题作出专业结论。</w:t>
      </w:r>
    </w:p>
    <w:p>
      <w:pPr>
        <w:spacing w:line="240" w:lineRule="auto"/>
        <w:ind w:firstLine="640"/>
        <w:jc w:val="both"/>
      </w:pPr>
      <w:r>
        <w:rPr>
          <w:rFonts w:ascii="仿宋_GB2312" w:hAnsi="仿宋_GB2312" w:eastAsia="仿宋_GB2312" w:cs="仿宋_GB2312"/>
          <w:sz w:val="32"/>
        </w:rPr>
        <w:t>被稽查人委托会计、税务等方面的专业机构作出的专业结论，可以作为海关稽查的参考依据。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海关稽查组实施稽查后，应当向海关报送稽查报告。稽查报告认定被稽查人涉嫌违法的，在报送海关前应当就稽查报告认定的事实征求被稽查人的意见，被稽查人应当自收到相关材料之日起</w:t>
      </w:r>
      <w:r>
        <w:rPr>
          <w:rFonts w:hint="default" w:ascii="Times New Roman" w:hAnsi="Times New Roman" w:eastAsia="仿宋_GB2312" w:cs="Times New Roman"/>
          <w:sz w:val="32"/>
        </w:rPr>
        <w:t>7</w:t>
      </w:r>
      <w:r>
        <w:rPr>
          <w:rFonts w:ascii="仿宋_GB2312" w:hAnsi="仿宋_GB2312" w:eastAsia="仿宋_GB2312" w:cs="仿宋_GB2312"/>
          <w:sz w:val="32"/>
        </w:rPr>
        <w:t>日内，将其书面意见送交海关。</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海关应当自收到稽查报告之日起</w:t>
      </w:r>
      <w:r>
        <w:rPr>
          <w:rFonts w:hint="default" w:ascii="Times New Roman" w:hAnsi="Times New Roman" w:eastAsia="仿宋_GB2312" w:cs="Times New Roman"/>
          <w:sz w:val="32"/>
        </w:rPr>
        <w:t>30</w:t>
      </w:r>
      <w:r>
        <w:rPr>
          <w:rFonts w:ascii="仿宋_GB2312" w:hAnsi="仿宋_GB2312" w:eastAsia="仿宋_GB2312" w:cs="仿宋_GB2312"/>
          <w:sz w:val="32"/>
        </w:rPr>
        <w:t>日内，作出海关稽查结论并送达被稽查人。</w:t>
      </w:r>
    </w:p>
    <w:p>
      <w:pPr>
        <w:spacing w:line="240" w:lineRule="auto"/>
        <w:ind w:firstLine="640"/>
        <w:jc w:val="both"/>
      </w:pPr>
      <w:r>
        <w:rPr>
          <w:rFonts w:ascii="仿宋_GB2312" w:hAnsi="仿宋_GB2312" w:eastAsia="仿宋_GB2312" w:cs="仿宋_GB2312"/>
          <w:sz w:val="32"/>
        </w:rPr>
        <w:t>海关应当在稽查结论中说明作出结论的理由，并告知被稽查人的权利。</w:t>
      </w:r>
    </w:p>
    <w:p>
      <w:pPr>
        <w:spacing w:line="240" w:lineRule="auto"/>
        <w:ind w:firstLine="0"/>
        <w:jc w:val="center"/>
      </w:pPr>
    </w:p>
    <w:p>
      <w:pPr>
        <w:spacing w:line="240" w:lineRule="auto"/>
        <w:ind w:firstLine="0"/>
        <w:jc w:val="center"/>
      </w:pPr>
      <w:r>
        <w:rPr>
          <w:rFonts w:ascii="黑体" w:hAnsi="黑体" w:eastAsia="黑体" w:cs="黑体"/>
          <w:sz w:val="32"/>
        </w:rPr>
        <w:t>第四章　海关稽查的处理</w:t>
      </w:r>
    </w:p>
    <w:p>
      <w:pPr>
        <w:spacing w:line="240" w:lineRule="auto"/>
        <w:ind w:firstLine="0"/>
        <w:jc w:val="cente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经海关稽查，发现关税或者其他进口环节的税收少征或者漏征的，由海关依照海关法和有关税收法律、行政法规的规定向被稽查人补征；因被稽查人违反规定而造成少征或者漏征的，由海关依照海关法和有关税收法律、行政法规的规定追征。</w:t>
      </w:r>
    </w:p>
    <w:p>
      <w:pPr>
        <w:spacing w:line="240" w:lineRule="auto"/>
        <w:ind w:firstLine="640"/>
        <w:jc w:val="both"/>
      </w:pPr>
      <w:r>
        <w:rPr>
          <w:rFonts w:ascii="仿宋_GB2312" w:hAnsi="仿宋_GB2312" w:eastAsia="仿宋_GB2312" w:cs="仿宋_GB2312"/>
          <w:sz w:val="32"/>
        </w:rPr>
        <w:t>被稽查人在海关规定的期限内仍未缴纳税款的，海关可以依照海关法第六十条第一款、第二款的规定采取强制执行措施。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依照本条例第十六条的规定查封、扣押的有关进出口货物，经海关稽查排除违法嫌疑的，海关应当立即解除查封、扣押；经海关稽查认定违法的，由海关依照海关法和海关行政处罚实施条例的规定处理。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经海关稽查，认定被稽查人有违反海关监管规定的行为的，由海关依照海关法和海关行政处罚实施条例的规定处理。</w:t>
      </w:r>
    </w:p>
    <w:p>
      <w:pPr>
        <w:spacing w:line="240" w:lineRule="auto"/>
        <w:ind w:firstLine="640"/>
        <w:jc w:val="both"/>
      </w:pPr>
      <w:r>
        <w:rPr>
          <w:rFonts w:ascii="仿宋_GB2312" w:hAnsi="仿宋_GB2312" w:eastAsia="仿宋_GB2312" w:cs="仿宋_GB2312"/>
          <w:sz w:val="32"/>
        </w:rPr>
        <w:t>与进出口货物直接有关的企业、单位主动向海关报告其违反海关监管规定的行为，并接受海关处理的，应当从轻或者减轻行政处罚。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经海关稽查，发现被稽查人有走私行为，构成犯罪的，依法追究刑事责任；尚不构成犯罪的，由海关依照海关法和海关行政处罚实施条例的规定处理。</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海关通过稽查决定补征或者追征的税款、没收的走私货物和违法所得以及收缴的罚款，全部上缴国库。</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被稽查人同海关发生纳税争议的，依照海关法第六十四条的规定办理。</w:t>
      </w:r>
    </w:p>
    <w:p>
      <w:pPr>
        <w:spacing w:line="240" w:lineRule="auto"/>
        <w:ind w:firstLine="0"/>
        <w:jc w:val="center"/>
      </w:pPr>
    </w:p>
    <w:p>
      <w:pPr>
        <w:spacing w:line="240" w:lineRule="auto"/>
        <w:ind w:firstLine="0"/>
        <w:jc w:val="center"/>
      </w:pPr>
      <w:r>
        <w:rPr>
          <w:rFonts w:ascii="黑体" w:hAnsi="黑体" w:eastAsia="黑体" w:cs="黑体"/>
          <w:sz w:val="32"/>
        </w:rPr>
        <w:t>第五章　法律责任</w:t>
      </w:r>
    </w:p>
    <w:p>
      <w:pPr>
        <w:spacing w:line="240" w:lineRule="auto"/>
        <w:ind w:firstLine="0"/>
        <w:jc w:val="cente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被稽查人有下列行为之一的，由海关责令限期改正，逾期不改正的，处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万元以下的罚款；情节严重的，禁止其从事报关活动；对负有直接责任的主管人员和其他直接责任人员处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万元以下的罚款；构成犯罪的，依法追究刑事责任：</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向海关提供虚假情况或者隐瞒重要事实；</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拒绝、拖延向海关提供账簿、单证等有关资料以及相关电子数据存储介质；</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转移、隐匿、篡改、毁弃报关单证、进出口单证、合同、与进出口业务直接有关的其他资料以及相关电子数据存储介质。</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被稽查人未按照规定编制或者保管报关单证、进出口单证、合同以及与进出口业务直接有关的其他资料的，由海关责令限期改正，逾期不改正的，处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万元以下的罚款；情节严重的，禁止其从事报关活动；对负有直接责任的主管人员和其他直接责任人员处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5000</w:t>
      </w:r>
      <w:r>
        <w:rPr>
          <w:rFonts w:ascii="仿宋_GB2312" w:hAnsi="仿宋_GB2312" w:eastAsia="仿宋_GB2312" w:cs="仿宋_GB2312"/>
          <w:sz w:val="32"/>
        </w:rPr>
        <w:t>元以下的罚款。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被稽查人未按照规定设置或者编制账簿，或者转移、隐匿、篡改、毁弃账簿的，依照会计法的有关规定追究法律责任。</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海关工作人员在稽查中玩忽职守、徇私舞弊、滥用职权，或者利用职务上的便利，收受、索取被稽查人的财物，构成犯罪的，依法追究刑事责任；尚不构成犯罪的，依法给予处分。</w:t>
      </w:r>
    </w:p>
    <w:p>
      <w:pPr>
        <w:spacing w:line="240" w:lineRule="auto"/>
        <w:ind w:firstLine="0"/>
        <w:jc w:val="center"/>
      </w:pPr>
    </w:p>
    <w:p>
      <w:pPr>
        <w:spacing w:line="240" w:lineRule="auto"/>
        <w:ind w:firstLine="0"/>
        <w:jc w:val="center"/>
      </w:pPr>
      <w:r>
        <w:rPr>
          <w:rFonts w:ascii="黑体" w:hAnsi="黑体" w:eastAsia="黑体" w:cs="黑体"/>
          <w:sz w:val="32"/>
        </w:rPr>
        <w:t>第六章　附　　则</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本条例自发布之日起施行。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634796B"/>
    <w:rsid w:val="0D9804AC"/>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2022-06-01T05:59:12Z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